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rtl w:val="0"/>
        </w:rPr>
      </w:r>
    </w:p>
    <w:p w:rsidR="00000000" w:rsidDel="00000000" w:rsidP="00000000" w:rsidRDefault="00000000" w:rsidRPr="00000000" w14:paraId="00000002">
      <w:pPr>
        <w:rPr>
          <w:b w:val="1"/>
          <w:u w:val="single"/>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rtl w:val="0"/>
        </w:rPr>
      </w:r>
    </w:p>
    <w:p w:rsidR="00000000" w:rsidDel="00000000" w:rsidP="00000000" w:rsidRDefault="00000000" w:rsidRPr="00000000" w14:paraId="00000004">
      <w:pPr>
        <w:rPr>
          <w:b w:val="1"/>
          <w:u w:val="single"/>
        </w:rPr>
      </w:pPr>
      <w:r w:rsidDel="00000000" w:rsidR="00000000" w:rsidRPr="00000000">
        <w:rPr>
          <w:b w:val="1"/>
          <w:u w:val="single"/>
          <w:rtl w:val="0"/>
        </w:rPr>
        <w:t xml:space="preserve">Foro de Ciudades por la Seguridad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Fecha</w:t>
      </w:r>
      <w:r w:rsidDel="00000000" w:rsidR="00000000" w:rsidRPr="00000000">
        <w:rPr>
          <w:rtl w:val="0"/>
        </w:rPr>
        <w:t xml:space="preserve">: 19 de junio de 2025</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Lugar</w:t>
      </w:r>
      <w:r w:rsidDel="00000000" w:rsidR="00000000" w:rsidRPr="00000000">
        <w:rPr>
          <w:rtl w:val="0"/>
        </w:rPr>
        <w:t xml:space="preserve">: Ex bodega Arizu, Belgrano 1322, Godoy Cruz (Mendoza, Argentina)</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Organiza</w:t>
      </w:r>
      <w:r w:rsidDel="00000000" w:rsidR="00000000" w:rsidRPr="00000000">
        <w:rPr>
          <w:rtl w:val="0"/>
        </w:rPr>
        <w:t xml:space="preserve">: Municipalidad de Godoy Cruz, Mercociudades y Peace in our Cities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Nota conceptual</w:t>
      </w:r>
      <w:r w:rsidDel="00000000" w:rsidR="00000000" w:rsidRPr="00000000">
        <w:rPr>
          <w:rtl w:val="0"/>
        </w:rPr>
        <w:t xml:space="preserve">: los gobiernos locales son la primera línea de vinculación entre sociedad civil y Estado. Es la primera demanda en la Argentina y en otros países de la región. Los municipios no son tradicionalmente poseedores de las herramientas de políticas de orden público como las fuerzas de seguridad. En las últimas décadas se ha dado un efecto pinza:</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Por un lado se ha comprendido que la gestión de los conflictos desde el ámbito de lo local es más efectiva y sostenible dando sustento a un nuevo paradigma de seguridad humana (el foco en las personas entendiendo que las amenazas son muchas más que el delito); </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Por el otro, se comprende que hay una interdependencia en esas amenazas y los gobiernos locales son el ámbito natural donde articular políticas, favorecidas por la descentralización y traccionadas por la demanda social que invita a innovar a los intendentes.</w:t>
      </w:r>
    </w:p>
    <w:p w:rsidR="00000000" w:rsidDel="00000000" w:rsidP="00000000" w:rsidRDefault="00000000" w:rsidRPr="00000000" w14:paraId="0000000F">
      <w:pPr>
        <w:rPr/>
      </w:pPr>
      <w:r w:rsidDel="00000000" w:rsidR="00000000" w:rsidRPr="00000000">
        <w:rPr>
          <w:rtl w:val="0"/>
        </w:rPr>
        <w:t xml:space="preserve">El resultado es que cada vez más gobiernos locales están comprometidos con la seguridad con respuestas tradicionales como policías locales, video cámaras, sistemas de alarmas, foros comunitarios, alumbrado y cierre de espacios públicos, pero al mismo tiempo con acciones innovadoras que articulan estas respuestas, las mejoran, producen información para tomar decisiones y medir las consecuencias, generan cuadros técnicos especializados, planifican de manera transversal políticas sociales, urbanas, ambientales, tecnológicas.</w:t>
      </w:r>
    </w:p>
    <w:p w:rsidR="00000000" w:rsidDel="00000000" w:rsidP="00000000" w:rsidRDefault="00000000" w:rsidRPr="00000000" w14:paraId="00000010">
      <w:pPr>
        <w:rPr>
          <w:b w:val="1"/>
          <w:i w:val="1"/>
        </w:rPr>
      </w:pPr>
      <w:r w:rsidDel="00000000" w:rsidR="00000000" w:rsidRPr="00000000">
        <w:rPr>
          <w:b w:val="1"/>
          <w:i w:val="1"/>
          <w:rtl w:val="0"/>
        </w:rPr>
        <w:t xml:space="preserve">El objetivo del foro es facilitar un espacio para exponer algunas de estas respuestas innovadoras que podrían ser replicables y al mismo tiempo facilitar espacios de diálogo horizontal entre jefes de gobiernos locales para que intercambien experiencias o produzcan nuevas iniciativas.</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Objetivos estratégicos</w:t>
      </w:r>
      <w:r w:rsidDel="00000000" w:rsidR="00000000" w:rsidRPr="00000000">
        <w:rPr>
          <w:rtl w:val="0"/>
        </w:rPr>
        <w:t xml:space="preserve">: </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Fortalecer las redes de contactos e innovación en seguridad ciudadana, entre ciudades y con redes que trabajan en la región.</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Fortalecer los vínculos entre gestiones locales y reflexión académica de las políticas locales de seguridad.</w:t>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Fortalecer las propias capacidades de los gobiernos locales en seguridad.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u w:val="single"/>
        </w:rPr>
      </w:pPr>
      <w:r w:rsidDel="00000000" w:rsidR="00000000" w:rsidRPr="00000000">
        <w:rPr>
          <w:rtl w:val="0"/>
        </w:rPr>
      </w:r>
    </w:p>
    <w:p w:rsidR="00000000" w:rsidDel="00000000" w:rsidP="00000000" w:rsidRDefault="00000000" w:rsidRPr="00000000" w14:paraId="00000018">
      <w:pPr>
        <w:rPr>
          <w:b w:val="1"/>
          <w:u w:val="single"/>
        </w:rPr>
      </w:pPr>
      <w:r w:rsidDel="00000000" w:rsidR="00000000" w:rsidRPr="00000000">
        <w:rPr>
          <w:rtl w:val="0"/>
        </w:rPr>
      </w:r>
    </w:p>
    <w:p w:rsidR="00000000" w:rsidDel="00000000" w:rsidP="00000000" w:rsidRDefault="00000000" w:rsidRPr="00000000" w14:paraId="00000019">
      <w:pPr>
        <w:rPr>
          <w:b w:val="1"/>
          <w:u w:val="single"/>
        </w:rPr>
      </w:pPr>
      <w:r w:rsidDel="00000000" w:rsidR="00000000" w:rsidRPr="00000000">
        <w:rPr>
          <w:rtl w:val="0"/>
        </w:rPr>
      </w:r>
    </w:p>
    <w:p w:rsidR="00000000" w:rsidDel="00000000" w:rsidP="00000000" w:rsidRDefault="00000000" w:rsidRPr="00000000" w14:paraId="0000001A">
      <w:pPr>
        <w:rPr>
          <w:b w:val="1"/>
          <w:u w:val="single"/>
        </w:rPr>
      </w:pPr>
      <w:r w:rsidDel="00000000" w:rsidR="00000000" w:rsidRPr="00000000">
        <w:rPr>
          <w:rtl w:val="0"/>
        </w:rPr>
      </w:r>
    </w:p>
    <w:p w:rsidR="00000000" w:rsidDel="00000000" w:rsidP="00000000" w:rsidRDefault="00000000" w:rsidRPr="00000000" w14:paraId="0000001B">
      <w:pPr>
        <w:rPr>
          <w:b w:val="1"/>
          <w:u w:val="single"/>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Contenido de la actividad</w:t>
      </w:r>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El programa se desarrollará íntegramente durante el 19 de junio de 2025. Es organizada por la Municipalidad de Godoy Cruz, que coordina la unidad temática de Seguridad Ciudadana de Mercociudades. La red Peace in Our Cities, colaborará con la participación de expositores.</w:t>
      </w:r>
    </w:p>
    <w:p w:rsidR="00000000" w:rsidDel="00000000" w:rsidP="00000000" w:rsidRDefault="00000000" w:rsidRPr="00000000" w14:paraId="0000001F">
      <w:pPr>
        <w:rPr/>
      </w:pPr>
      <w:r w:rsidDel="00000000" w:rsidR="00000000" w:rsidRPr="00000000">
        <w:rPr>
          <w:rtl w:val="0"/>
        </w:rPr>
        <w:t xml:space="preserve">Tendrá exposiciones de alto nivel político y académico internacional, sobre los desafíos que los gobiernos locales afrontan en materia de seguridad ciudadana.</w:t>
      </w:r>
    </w:p>
    <w:p w:rsidR="00000000" w:rsidDel="00000000" w:rsidP="00000000" w:rsidRDefault="00000000" w:rsidRPr="00000000" w14:paraId="00000020">
      <w:pPr>
        <w:rPr/>
      </w:pPr>
      <w:r w:rsidDel="00000000" w:rsidR="00000000" w:rsidRPr="00000000">
        <w:rPr>
          <w:rtl w:val="0"/>
        </w:rPr>
        <w:t xml:space="preserve">Se dispondrán ámbitos de intercambio de experiencias sobre experiencias de gobiernos locales en los siguientes ejes: diseño urbano para la prevención; planificar y ejecutar políticas de seguridad ciudadana en base a información; un salto de calidad en las policías municipales; intervenciones barriales de prevención integral; desafíos del crimen organizado; y impactos del cambio climático en la seguridad.</w:t>
      </w:r>
    </w:p>
    <w:p w:rsidR="00000000" w:rsidDel="00000000" w:rsidP="00000000" w:rsidRDefault="00000000" w:rsidRPr="00000000" w14:paraId="00000021">
      <w:pPr>
        <w:rPr/>
      </w:pPr>
      <w:r w:rsidDel="00000000" w:rsidR="00000000" w:rsidRPr="00000000">
        <w:rPr>
          <w:rtl w:val="0"/>
        </w:rPr>
        <w:t xml:space="preserve">Además se podrá acceder en simultáneo a la presentación de publicaciones, stand con experiencias locales y presentación de programas de organizaciones internacionales.</w:t>
      </w:r>
    </w:p>
    <w:p w:rsidR="00000000" w:rsidDel="00000000" w:rsidP="00000000" w:rsidRDefault="00000000" w:rsidRPr="00000000" w14:paraId="00000022">
      <w:pPr>
        <w:rPr/>
      </w:pPr>
      <w:r w:rsidDel="00000000" w:rsidR="00000000" w:rsidRPr="00000000">
        <w:rPr>
          <w:rtl w:val="0"/>
        </w:rPr>
        <w:t xml:space="preserve">La ciudad anfitriona dispondrá de recursos para alentar la participación (con prioridad en alcaldesas e intendentes municipales). Ya está abierta la preinscripción en la siguiente dirección: </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2057400</wp:posOffset>
          </wp:positionH>
          <wp:positionV relativeFrom="paragraph">
            <wp:posOffset>38101</wp:posOffset>
          </wp:positionV>
          <wp:extent cx="1824038" cy="343269"/>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4038" cy="343269"/>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4800600</wp:posOffset>
          </wp:positionH>
          <wp:positionV relativeFrom="paragraph">
            <wp:posOffset>-9524</wp:posOffset>
          </wp:positionV>
          <wp:extent cx="1144414" cy="433388"/>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44414" cy="433388"/>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-66674</wp:posOffset>
          </wp:positionV>
          <wp:extent cx="1613154" cy="552450"/>
          <wp:effectExtent b="0" l="0" r="0" t="0"/>
          <wp:wrapNone/>
          <wp:docPr id="3"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613154" cy="552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