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Nota Conceptual sobre el Taller de Género en la Programación de la XXIX Cumbre de Mercociudades</w:t>
      </w:r>
    </w:p>
    <w:p w:rsidR="00000000" w:rsidDel="00000000" w:rsidP="00000000" w:rsidRDefault="00000000" w:rsidRPr="00000000" w14:paraId="00000002">
      <w:pPr>
        <w:spacing w:after="240" w:before="240" w:lineRule="auto"/>
        <w:jc w:val="both"/>
        <w:rPr>
          <w:b w:val="1"/>
          <w:color w:val="222222"/>
        </w:rPr>
      </w:pPr>
      <w:r w:rsidDel="00000000" w:rsidR="00000000" w:rsidRPr="00000000">
        <w:rPr>
          <w:rtl w:val="0"/>
        </w:rPr>
        <w:t xml:space="preserve">El Taller de Género, que será desarrollado en la próxima Cumbre de Mercociudades por la Unidad Temática de Género y Municipio (UTGM), abordará temas esenciales para el fortalecimiento de las políticas públicas de género y el avance del ODS 5 en las ciudades de América Latina. Este taller será el punto de partida para la construcción del primer Protocolo de Género de América Latina: un compromiso formal de los gobiernos locales con la implementación y expansión de políticas públicas de género en sus territorios. A partir del trabajo desarrollado por la UTGM en 2024, se han dado pasos importantes en el mapeo de las políticas públicas de género implementadas por las ciudades miembro de Mercociudades, lo que es crucial para que estas políticas se nivelen a nivel global. El taller es una oportunidad para resaltar el papel central de las ciudades en la promoción de la igualdad y la inclusión, y para enfatizar la importancia de la colaboración entre ciudades en el desarrollo de políticas que consideren la transversalidad y fortalezcan la emancipación de las mujeres latinoamericanas.</w:t>
      </w:r>
      <w:r w:rsidDel="00000000" w:rsidR="00000000" w:rsidRPr="00000000">
        <w:rPr>
          <w:rtl w:val="0"/>
        </w:rPr>
      </w:r>
    </w:p>
    <w:p w:rsidR="00000000" w:rsidDel="00000000" w:rsidP="00000000" w:rsidRDefault="00000000" w:rsidRPr="00000000" w14:paraId="00000003">
      <w:pPr>
        <w:numPr>
          <w:ilvl w:val="1"/>
          <w:numId w:val="1"/>
        </w:numPr>
        <w:spacing w:after="0" w:afterAutospacing="0" w:before="200" w:lineRule="auto"/>
        <w:ind w:left="1440" w:hanging="360"/>
        <w:rPr>
          <w:color w:val="222222"/>
        </w:rPr>
      </w:pPr>
      <w:r w:rsidDel="00000000" w:rsidR="00000000" w:rsidRPr="00000000">
        <w:rPr>
          <w:b w:val="1"/>
          <w:color w:val="222222"/>
          <w:rtl w:val="0"/>
        </w:rPr>
        <w:t xml:space="preserve">Fecha:</w:t>
      </w:r>
      <w:r w:rsidDel="00000000" w:rsidR="00000000" w:rsidRPr="00000000">
        <w:rPr>
          <w:color w:val="222222"/>
          <w:rtl w:val="0"/>
        </w:rPr>
        <w:t xml:space="preserve"> 05/12</w:t>
      </w:r>
    </w:p>
    <w:p w:rsidR="00000000" w:rsidDel="00000000" w:rsidP="00000000" w:rsidRDefault="00000000" w:rsidRPr="00000000" w14:paraId="00000004">
      <w:pPr>
        <w:numPr>
          <w:ilvl w:val="1"/>
          <w:numId w:val="1"/>
        </w:numPr>
        <w:spacing w:after="0" w:afterAutospacing="0" w:before="0" w:beforeAutospacing="0" w:lineRule="auto"/>
        <w:ind w:left="1440" w:hanging="360"/>
        <w:rPr>
          <w:color w:val="222222"/>
        </w:rPr>
      </w:pPr>
      <w:r w:rsidDel="00000000" w:rsidR="00000000" w:rsidRPr="00000000">
        <w:rPr>
          <w:b w:val="1"/>
          <w:color w:val="222222"/>
          <w:rtl w:val="0"/>
        </w:rPr>
        <w:t xml:space="preserve">Horario:</w:t>
      </w:r>
      <w:r w:rsidDel="00000000" w:rsidR="00000000" w:rsidRPr="00000000">
        <w:rPr>
          <w:color w:val="222222"/>
          <w:rtl w:val="0"/>
        </w:rPr>
        <w:t xml:space="preserve"> 16:00 a 17:45 h</w:t>
      </w:r>
    </w:p>
    <w:p w:rsidR="00000000" w:rsidDel="00000000" w:rsidP="00000000" w:rsidRDefault="00000000" w:rsidRPr="00000000" w14:paraId="00000005">
      <w:pPr>
        <w:numPr>
          <w:ilvl w:val="1"/>
          <w:numId w:val="1"/>
        </w:numPr>
        <w:spacing w:after="0" w:afterAutospacing="0" w:before="0" w:beforeAutospacing="0" w:lineRule="auto"/>
        <w:ind w:left="1440" w:hanging="360"/>
        <w:rPr>
          <w:color w:val="222222"/>
        </w:rPr>
      </w:pPr>
      <w:r w:rsidDel="00000000" w:rsidR="00000000" w:rsidRPr="00000000">
        <w:rPr>
          <w:b w:val="1"/>
          <w:color w:val="222222"/>
          <w:rtl w:val="0"/>
        </w:rPr>
        <w:t xml:space="preserve">Lugar:</w:t>
      </w:r>
      <w:r w:rsidDel="00000000" w:rsidR="00000000" w:rsidRPr="00000000">
        <w:rPr>
          <w:color w:val="222222"/>
          <w:rtl w:val="0"/>
        </w:rPr>
        <w:t xml:space="preserve"> Espacio Marfil</w:t>
      </w:r>
    </w:p>
    <w:p w:rsidR="00000000" w:rsidDel="00000000" w:rsidP="00000000" w:rsidRDefault="00000000" w:rsidRPr="00000000" w14:paraId="00000006">
      <w:pPr>
        <w:numPr>
          <w:ilvl w:val="1"/>
          <w:numId w:val="1"/>
        </w:numPr>
        <w:spacing w:after="200" w:before="0" w:beforeAutospacing="0" w:lineRule="auto"/>
        <w:ind w:left="1440" w:hanging="360"/>
        <w:rPr>
          <w:color w:val="222222"/>
          <w:u w:val="none"/>
        </w:rPr>
      </w:pPr>
      <w:r w:rsidDel="00000000" w:rsidR="00000000" w:rsidRPr="00000000">
        <w:rPr>
          <w:b w:val="1"/>
          <w:color w:val="222222"/>
          <w:rtl w:val="0"/>
        </w:rPr>
        <w:t xml:space="preserve">Enlace para inscripción:</w:t>
      </w:r>
      <w:r w:rsidDel="00000000" w:rsidR="00000000" w:rsidRPr="00000000">
        <w:rPr>
          <w:color w:val="222222"/>
          <w:rtl w:val="0"/>
        </w:rPr>
        <w:t xml:space="preserve"> </w:t>
      </w:r>
      <w:hyperlink r:id="rId6">
        <w:r w:rsidDel="00000000" w:rsidR="00000000" w:rsidRPr="00000000">
          <w:rPr>
            <w:color w:val="1155cc"/>
            <w:u w:val="single"/>
            <w:rtl w:val="0"/>
          </w:rPr>
          <w:t xml:space="preserve">https://forms.gle/3vrTdfXeosE6q3kz5</w:t>
        </w:r>
      </w:hyperlink>
      <w:r w:rsidDel="00000000" w:rsidR="00000000" w:rsidRPr="00000000">
        <w:rPr>
          <w:color w:val="222222"/>
          <w:rtl w:val="0"/>
        </w:rPr>
        <w:t xml:space="preserve"> </w:t>
      </w:r>
    </w:p>
    <w:p w:rsidR="00000000" w:rsidDel="00000000" w:rsidP="00000000" w:rsidRDefault="00000000" w:rsidRPr="00000000" w14:paraId="00000007">
      <w:pPr>
        <w:spacing w:after="200" w:before="200" w:lineRule="auto"/>
        <w:rPr>
          <w:color w:val="222222"/>
        </w:rPr>
      </w:pPr>
      <w:r w:rsidDel="00000000" w:rsidR="00000000" w:rsidRPr="00000000">
        <w:rPr>
          <w:rtl w:val="0"/>
        </w:rPr>
      </w:r>
    </w:p>
    <w:p w:rsidR="00000000" w:rsidDel="00000000" w:rsidP="00000000" w:rsidRDefault="00000000" w:rsidRPr="00000000" w14:paraId="00000008">
      <w:pPr>
        <w:numPr>
          <w:ilvl w:val="0"/>
          <w:numId w:val="1"/>
        </w:numPr>
        <w:spacing w:after="240" w:before="240" w:lineRule="auto"/>
        <w:ind w:left="720" w:hanging="360"/>
        <w:jc w:val="both"/>
        <w:rPr>
          <w:b w:val="1"/>
        </w:rPr>
      </w:pPr>
      <w:r w:rsidDel="00000000" w:rsidR="00000000" w:rsidRPr="00000000">
        <w:rPr>
          <w:b w:val="1"/>
          <w:rtl w:val="0"/>
        </w:rPr>
        <w:t xml:space="preserve">Estructura:</w:t>
      </w:r>
    </w:p>
    <w:p w:rsidR="00000000" w:rsidDel="00000000" w:rsidP="00000000" w:rsidRDefault="00000000" w:rsidRPr="00000000" w14:paraId="00000009">
      <w:pPr>
        <w:spacing w:after="240" w:before="240" w:lineRule="auto"/>
        <w:ind w:left="720" w:firstLine="0"/>
        <w:jc w:val="both"/>
        <w:rPr>
          <w:i w:val="1"/>
        </w:rPr>
      </w:pPr>
      <w:r w:rsidDel="00000000" w:rsidR="00000000" w:rsidRPr="00000000">
        <w:rPr>
          <w:i w:val="1"/>
          <w:rtl w:val="0"/>
        </w:rPr>
        <w:t xml:space="preserve">1. Presentación del trabajo de la Unidad Temática de Género y Municipio de Mercociudades: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El taller empezará con una presentación detallada del trabajo desarrollado por la UTGM en 2024, coordinada por el municipio de Niterói (Brasil) y la subcoordinada por los municipios de Lincoln y Quilmes (Argentina). Se presentarán las acciones realizadas para fortalecer las políticas de género en toda la red Mercociudades, a través de la revisión del plan de trabajo de la UTGM y la exposición de los productos desarrollados en 2024: el Boletín Equidad de Género, el curso "ODS: Perspectiva de Género para la Gestión Pública y Social - Acciones en Red para la Promoción de la Equidad e Impacto Local" y la Convocatoria de Buenas Prácticas para Políticas Locales de Género. Durante la presentación, se ofrecerá un panorama de los resultados obtenidos en la Convocatoria de Buenas Prácticas, destacando las iniciativas innovadoras de las ciudades miembro que han contribuido al fortalecimiento de la equidad de género mediante estrategias locales efectivas y replicables.</w:t>
      </w:r>
    </w:p>
    <w:p w:rsidR="00000000" w:rsidDel="00000000" w:rsidP="00000000" w:rsidRDefault="00000000" w:rsidRPr="00000000" w14:paraId="0000000B">
      <w:pPr>
        <w:spacing w:after="240" w:before="240" w:lineRule="auto"/>
        <w:ind w:left="720" w:firstLine="0"/>
        <w:jc w:val="both"/>
        <w:rPr>
          <w:i w:val="1"/>
        </w:rPr>
      </w:pPr>
      <w:r w:rsidDel="00000000" w:rsidR="00000000" w:rsidRPr="00000000">
        <w:rPr>
          <w:rtl w:val="0"/>
        </w:rPr>
        <w:t xml:space="preserve">2. </w:t>
      </w:r>
      <w:r w:rsidDel="00000000" w:rsidR="00000000" w:rsidRPr="00000000">
        <w:rPr>
          <w:i w:val="1"/>
          <w:rtl w:val="0"/>
        </w:rPr>
        <w:t xml:space="preserve">Creación de Grupos de Trabajo:</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Los participantes serán divididos en Grupos de Trabajo donde podrán discutir las necesidades específicas de sus ciudades y colaborar en la creación de propuestas de acción conjunta. Estos grupos estarán organizados para fomentar el diálogo y el intercambio de experiencias, permitiendo que las ciudades identifiquen desafíos comunes y propongan soluciones adaptadas a sus realidades locales. La idea es que cada grupo aporte ideas prácticas e innovadoras que promuevan la equidad de género y fortalezcan las políticas públicas en toda la red Mercociudades y presenten estas ideas al final de la dinámica.</w:t>
      </w:r>
    </w:p>
    <w:p w:rsidR="00000000" w:rsidDel="00000000" w:rsidP="00000000" w:rsidRDefault="00000000" w:rsidRPr="00000000" w14:paraId="0000000D">
      <w:pPr>
        <w:spacing w:after="240" w:before="240" w:lineRule="auto"/>
        <w:ind w:left="720" w:firstLine="0"/>
        <w:jc w:val="both"/>
        <w:rPr>
          <w:b w:val="1"/>
        </w:rPr>
      </w:pPr>
      <w:r w:rsidDel="00000000" w:rsidR="00000000" w:rsidRPr="00000000">
        <w:rPr>
          <w:i w:val="1"/>
          <w:rtl w:val="0"/>
        </w:rPr>
        <w:t xml:space="preserve">3. Formalización de las ideas presentadas:</w:t>
      </w: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t xml:space="preserve">Las ideas presentadas serán registradas en un documento que formalizará el inicio de la construcción del Protocolo de Género de América Latina, reuniendo las directrices propuestas por los participantes y estableciendo una base colaborativa para el desarrollo de políticas públicas comprometidas con la equidad de género en las ciudades de la red Mercociudades.</w:t>
      </w:r>
    </w:p>
    <w:p w:rsidR="00000000" w:rsidDel="00000000" w:rsidP="00000000" w:rsidRDefault="00000000" w:rsidRPr="00000000" w14:paraId="0000000F">
      <w:pPr>
        <w:spacing w:after="240" w:before="240" w:lineRule="auto"/>
        <w:ind w:left="720" w:firstLine="0"/>
        <w:jc w:val="both"/>
        <w:rPr>
          <w:i w:val="1"/>
        </w:rPr>
      </w:pPr>
      <w:r w:rsidDel="00000000" w:rsidR="00000000" w:rsidRPr="00000000">
        <w:rPr>
          <w:rtl w:val="0"/>
        </w:rPr>
        <w:t xml:space="preserve">4. </w:t>
      </w:r>
      <w:r w:rsidDel="00000000" w:rsidR="00000000" w:rsidRPr="00000000">
        <w:rPr>
          <w:i w:val="1"/>
          <w:rtl w:val="0"/>
        </w:rPr>
        <w:t xml:space="preserve">Convocatoria para la construcción del Protocolo de Género en 2025:</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Al finalizar el taller, se hará una convocatoria a todas las ciudades representadas para que participen activamente en la construcción del Protocolo de Género en 2025. Este protocolo será un compromiso formal de las ciudades miembro con la promoción de políticas de equidad de género y la defensa de los derechos de las mujeres en América Latina. El taller será, así, el punto de partida para la creación de este documento colaborativo, que será desarrollado de manera colectiva y orientado por los principios del municipalismo feminista y la cooperación regional.</w:t>
      </w:r>
    </w:p>
    <w:p w:rsidR="00000000" w:rsidDel="00000000" w:rsidP="00000000" w:rsidRDefault="00000000" w:rsidRPr="00000000" w14:paraId="00000011">
      <w:pPr>
        <w:numPr>
          <w:ilvl w:val="0"/>
          <w:numId w:val="4"/>
        </w:numPr>
        <w:spacing w:after="240" w:before="240" w:lineRule="auto"/>
        <w:ind w:left="720" w:hanging="360"/>
        <w:jc w:val="both"/>
        <w:rPr>
          <w:b w:val="1"/>
        </w:rPr>
      </w:pPr>
      <w:r w:rsidDel="00000000" w:rsidR="00000000" w:rsidRPr="00000000">
        <w:rPr>
          <w:b w:val="1"/>
          <w:rtl w:val="0"/>
        </w:rPr>
        <w:t xml:space="preserve">Importancia del Taller:</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El Taller de Género busca ser un espacio de diálogo y construcción colectiva, reuniendo a participantes de la Cumbre de Mercociudades y resaltando la importancia de políticas de género que fortalezcan el papel de las ciudades como agentes de cambio. Al incentivar el intercambio de conocimientos y prácticas exitosas, el taller tiene como objetivo promover el desarrollo de políticas públicas inclusivas, esenciales para el avance de los Objetivos de Desarrollo Sostenible (ODS) en toda América Latina. Además, el inicio de la construcción del Protocolo de Género será un paso clave para el nivelamiento de las políticas públicas de género en todos los territorios de América Latina.</w:t>
      </w:r>
    </w:p>
    <w:p w:rsidR="00000000" w:rsidDel="00000000" w:rsidP="00000000" w:rsidRDefault="00000000" w:rsidRPr="00000000" w14:paraId="00000013">
      <w:pPr>
        <w:numPr>
          <w:ilvl w:val="0"/>
          <w:numId w:val="3"/>
        </w:numPr>
        <w:spacing w:after="240" w:before="240" w:lineRule="auto"/>
        <w:ind w:left="720" w:hanging="360"/>
        <w:jc w:val="both"/>
        <w:rPr>
          <w:b w:val="1"/>
        </w:rPr>
      </w:pPr>
      <w:r w:rsidDel="00000000" w:rsidR="00000000" w:rsidRPr="00000000">
        <w:rPr>
          <w:b w:val="1"/>
          <w:rtl w:val="0"/>
        </w:rPr>
        <w:t xml:space="preserve">Datos Relevantes:</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La publicación de ONU Mujeres "Why gender equality matters across all SDGs?" demuestra la importancia de promover la equidad de género para alcanzar todos los Objetivos de Desarrollo Sostenible (ODS). Eso demuestra que las ciudades que promueven la equidad de género tienen un mayor potencial para alcanzar la justicia social y el desarrollo sostenible. Además, estudios muestran que la inclusión de políticas de género en las ciudades genera impactos positivos en la economía, la seguridad y el bienestar de las comunidades.</w:t>
      </w:r>
    </w:p>
    <w:p w:rsidR="00000000" w:rsidDel="00000000" w:rsidP="00000000" w:rsidRDefault="00000000" w:rsidRPr="00000000" w14:paraId="00000015">
      <w:pPr>
        <w:numPr>
          <w:ilvl w:val="0"/>
          <w:numId w:val="2"/>
        </w:numPr>
        <w:spacing w:after="240" w:before="240" w:lineRule="auto"/>
        <w:ind w:left="720" w:hanging="360"/>
        <w:jc w:val="both"/>
        <w:rPr>
          <w:b w:val="1"/>
        </w:rPr>
      </w:pPr>
      <w:r w:rsidDel="00000000" w:rsidR="00000000" w:rsidRPr="00000000">
        <w:rPr>
          <w:b w:val="1"/>
          <w:rtl w:val="0"/>
        </w:rPr>
        <w:t xml:space="preserve">Conclusión:</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El Taller de Género en la Cumbre de Mercociudades representa una oportunidad significativa para debatir y perfeccionar estrategias de igualdad de género en las ciudades. Con la participación de representantes y especialistas de toda América Latina, el taller busca fomentar una red de cooperación que apoye la construcción de ciudades más inclusivas, equitativas y seguras, contribuyendo al pleno desarrollo de mujeres y niñas en la región.</w:t>
      </w:r>
    </w:p>
    <w:p w:rsidR="00000000" w:rsidDel="00000000" w:rsidP="00000000" w:rsidRDefault="00000000" w:rsidRPr="00000000" w14:paraId="00000017">
      <w:pPr>
        <w:spacing w:before="240" w:lineRule="auto"/>
        <w:jc w:val="center"/>
        <w:rPr/>
      </w:pPr>
      <w:r w:rsidDel="00000000" w:rsidR="00000000" w:rsidRPr="00000000">
        <w:rPr/>
        <w:drawing>
          <wp:inline distB="114300" distT="114300" distL="114300" distR="114300">
            <wp:extent cx="3437111" cy="117633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37111" cy="1176338"/>
                    </a:xfrm>
                    <a:prstGeom prst="rect"/>
                    <a:ln/>
                  </pic:spPr>
                </pic:pic>
              </a:graphicData>
            </a:graphic>
          </wp:inline>
        </w:drawing>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drawing>
        <wp:inline distB="114300" distT="114300" distL="114300" distR="114300">
          <wp:extent cx="5734050" cy="1181100"/>
          <wp:effectExtent b="0" l="0" r="0" t="0"/>
          <wp:docPr id="1" name="image1.png"/>
          <a:graphic>
            <a:graphicData uri="http://schemas.openxmlformats.org/drawingml/2006/picture">
              <pic:pic>
                <pic:nvPicPr>
                  <pic:cNvPr id="0" name="image1.png"/>
                  <pic:cNvPicPr preferRelativeResize="0"/>
                </pic:nvPicPr>
                <pic:blipFill>
                  <a:blip r:embed="rId1"/>
                  <a:srcRect b="13901" l="0" r="0" t="30493"/>
                  <a:stretch>
                    <a:fillRect/>
                  </a:stretch>
                </pic:blipFill>
                <pic:spPr>
                  <a:xfrm>
                    <a:off x="0" y="0"/>
                    <a:ext cx="5734050"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3vrTdfXeosE6q3kz5" TargetMode="Externa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